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 профессии, связанные с социальной сферой, финансами и экономикой, с обработкой информации, с такими сферами деятельности, как управление, предпринимательство, работа с финансами и другими.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социально-экономического профиля с углубленным изучением математики, обществознания и географии при шестидневной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</w:t>
      </w:r>
      <w:r>
        <w:rPr>
          <w:rFonts w:hAnsi="Times New Roman" w:cs="Times New Roman"/>
          <w:color w:val="000000"/>
          <w:sz w:val="24"/>
          <w:szCs w:val="24"/>
        </w:rPr>
        <w:t>: математики, обществознания и географии.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Время, отводимое на формируемую часть учебного плана, используется для реализации </w:t>
      </w:r>
      <w:r>
        <w:rPr>
          <w:rFonts w:hAnsi="Times New Roman" w:cs="Times New Roman"/>
          <w:color w:val="000000"/>
          <w:sz w:val="24"/>
          <w:szCs w:val="24"/>
        </w:rPr>
        <w:t>Концепции развития детско-юношеского спорта в России до 2030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 xml:space="preserve">на увеличение учебных часов, отводимых на изучение учебного предмета «Физическая культура». В 10-11-х классах реализуются модули по видам спорта </w:t>
      </w:r>
      <w:r>
        <w:rPr>
          <w:rFonts w:hAnsi="Times New Roman" w:cs="Times New Roman"/>
          <w:color w:val="000000"/>
          <w:sz w:val="24"/>
          <w:szCs w:val="24"/>
        </w:rPr>
        <w:t>«Плавание», «Бадминтон» и «Дзюдо» (1 час в неделю) по выбору обучающихся Модуль по видам спорта дополняет учебный предмет «Физическая культура» и является третьим часом физической активности.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уровне СОО суммарный объем домашнего 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Домашнее задание на следующий урок задается на текущем уроке, дублируется в электронном журнале не позднее времени окончания учебного дня – </w:t>
      </w:r>
      <w:r>
        <w:rPr>
          <w:rFonts w:hAnsi="Times New Roman" w:cs="Times New Roman"/>
          <w:color w:val="000000"/>
          <w:sz w:val="24"/>
          <w:szCs w:val="24"/>
        </w:rPr>
        <w:t>16.00</w:t>
      </w:r>
      <w:r>
        <w:rPr>
          <w:rFonts w:hAnsi="Times New Roman" w:cs="Times New Roman"/>
          <w:color w:val="000000"/>
          <w:sz w:val="24"/>
          <w:szCs w:val="24"/>
        </w:rPr>
        <w:t>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 соревнований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2516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ШЕСТИДНЕВНОЙ УЧЕБНОЙ НЕДЕЛЕ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11-й класс (34 учебные недели)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2516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f4fe45ea1c443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