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 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 Н.М. Глебова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РАБОТЫ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муниципального бюджетного дошкольного образовательного учреждения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«Детский сад № 1»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  <w:r>
        <w:rPr>
          <w:rFonts w:hAnsi="Times New Roman" w:cs="Times New Roman"/>
          <w:color w:val="000000"/>
          <w:sz w:val="24"/>
          <w:szCs w:val="24"/>
        </w:rPr>
        <w:t>, 20</w:t>
      </w:r>
      <w:r>
        <w:rPr>
          <w:rFonts w:hAnsi="Times New Roman" w:cs="Times New Roman"/>
          <w:color w:val="000000"/>
          <w:sz w:val="24"/>
          <w:szCs w:val="24"/>
        </w:rPr>
        <w:t>26 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ВОСПИТАТЕЛЬНАЯ И ОБРАЗОВАТЕЛЬНАЯ ДЕЯТЕЛЬНОСТЬ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воспитанниками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семьями воспитанников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3–5</w:t>
            </w:r>
          </w:p>
        </w:tc>
      </w:tr>
      <w:tr>
        <w:trPr>
          <w:trHeight w:val="0"/>
        </w:trPr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АДМИНИСТРАТИВНАЯ И МЕТОДИЧЕСКАЯ ДЕЯТЕЛЬНОСТЬ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Нормотворчество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кадрами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и оценка деятельности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ХОЗЯЙСТВЕННАЯ ДЕЯТЕЛЬНОСТЬ И БЕЗОПАСНОСТЬ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 и содержание материально-технической базы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</w:t>
            </w:r>
          </w:p>
        </w:tc>
      </w:tr>
      <w:tr>
        <w:trPr>
          <w:trHeight w:val="0"/>
        </w:trPr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Приложения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Приложение 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управленческой работы детского сада по организации оздоровительной работы летом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Приложение 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оперативных совещаний при заведующем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Приложение 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мониторинга деятельности по профилактике детского и семейного неблагополучия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Приложение 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12–24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24–28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29–...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–...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Цели и задачи детского сада на 2026/27 учебный 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ЦЕЛИ РАБОТЫ</w:t>
      </w:r>
      <w:r>
        <w:rPr>
          <w:rFonts w:hAnsi="Times New Roman" w:cs="Times New Roman"/>
          <w:color w:val="000000"/>
          <w:sz w:val="24"/>
          <w:szCs w:val="24"/>
        </w:rPr>
        <w:t xml:space="preserve">: по итогам анализа деятельности детского сада </w:t>
      </w:r>
      <w:r>
        <w:rPr>
          <w:rFonts w:hAnsi="Times New Roman" w:cs="Times New Roman"/>
          <w:color w:val="000000"/>
          <w:sz w:val="24"/>
          <w:szCs w:val="24"/>
        </w:rPr>
        <w:t>за прошедший год с учетом направлений программы развития и изменений законодательства 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продолжить работу по </w:t>
      </w:r>
      <w:r>
        <w:rPr>
          <w:rFonts w:hAnsi="Times New Roman" w:cs="Times New Roman"/>
          <w:color w:val="000000"/>
          <w:sz w:val="24"/>
          <w:szCs w:val="24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 xml:space="preserve"> единого образовательного пространства, направленного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>: для достижения намеченных целей необходимо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улучшить условия для реализации воспитательно-образовательной деятельности;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дополнить материально-техническую базу помещений для обучения воспитанников;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профессиональную компетентность педагогических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ввести в работу с воспитанниками новые физкультурно-оздоровительные и духовно-нравственные мероприятия;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совершенствовать систему взаимодействия педа</w:t>
      </w:r>
      <w:r>
        <w:rPr>
          <w:rFonts w:hAnsi="Times New Roman" w:cs="Times New Roman"/>
          <w:color w:val="000000"/>
          <w:sz w:val="24"/>
          <w:szCs w:val="24"/>
        </w:rPr>
        <w:t>гогов и родителей по приобщению дошкольников к здоровому образу жизни, сохранению и укреплению здоровья детей, обеспечению физической и психической безопасности, формированию основ безопасной жизнедеятельности;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развитие педагогических подходов и технологий осуществления преемственности образования, направленных на формирование фундаментальных личностных компетенций дошкольника и учащегося начальной школы, в соответствии с ФГОС ДО и НОО;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I. ВОСПИТАТЕЛЬНО-ОБРАЗОВАТЕЛЬНАЯ ДЕЯТЕЛЬНОСТЬ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1.1. Работа с воспитанниками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1.1.1. Мероприятия по реализации образовательной программы дошкольного образования и оздоровлению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сетевого взаимодействия по вопросам воспитательной работы с воспитанниками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положений и сценариев воспитательных мероприятий с учетом ФОП ДО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взаимодействия участников образовательных отношений в системе нравственно-духовного и патриотического воспитания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311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воспитательных мероприятий в целях реализации направлений воспитания по ФОП ДО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педагог-психолог, старший воспитатель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Еженедельное поднятие флага с целью формирования у воспитанников ценности государственных символов РФ и уважения к ним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экскурсии на церемонию поднятия и спуска флага в СОШ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 квартал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&lt;...&gt; 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совместной работы ДОО и МБОУ «Школа № 1» г. Энска в целях обеспечения преемственности в соответствии с ФГОС НОО, ФОП НОО и ФОП ДО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 подготовительной группы, старший воспитатель 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кабинетов дидактическими и наглядными 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 для создания насыщенной образовательной среды с учетом рекомендаций Минпросвещения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 в работу воспитателей новых методов для развития любознательности, формирования познавательных действий у воспитанников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 в работу воспитателей 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условий для индивидуализации развития ребенка, его личности, мотивации и способностей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цифровых материалов для реализации деятельности с использованием цифровых образовательных технологий (для детей от 5 лет)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учителя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содержания ОП ДО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старший воспитатель 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методики формирования исторических знаний у дошкольников и внедрить их в работу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Январь–апрель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 «Нарисуй своего сказочного героя» – дети описывают персонажа, воспитатель генерирует изображение через нейросеть (Kandinsky), потом дети дорисовывают и придумывают историю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согласий родителей (законных представителей) на закаливание воспитанников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медицинская сестра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перечня оздоровительных процедур на летний период с учетом состояния здоровья воспитанников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перечня двигательной активности воспитанников в летний период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плана летней оздоровительной работы с воспитанниками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1.1.2. Праздники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осени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и Рождество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Воспитатели, музыкальный руководитель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старшей и подготовительной группы, музыкальный руководитель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рисунков, посвященный Дню знаний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чтецов, посвященный Дню матери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Бессмертный полк «Мы помним, мы гордимся»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фотографии «Город, в котором я живу»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1.1.4. Дни здоровья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5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Групповые мероприятия </w:t>
            </w:r>
          </w:p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квартал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инструктор по ФИЗО</w:t>
            </w:r>
          </w:p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инструктор по ФИЗО</w:t>
            </w:r>
          </w:p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Воспитатели, инструктор по ФИЗО</w:t>
            </w:r>
          </w:p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 к школе группа</w:t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инструктор по ФИЗО</w:t>
            </w:r>
          </w:p>
        </w:tc>
      </w:tr>
      <w:tr>
        <w:trPr>
          <w:trHeight w:val="0"/>
        </w:trPr>
        <w:tc>
          <w:tcPr>
            <w:tcW w:w="45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Общесадовские мероприятия </w:t>
            </w:r>
          </w:p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эстафета «Мы за ЗОЖ»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инструктор по ФИЗО</w:t>
            </w:r>
          </w:p>
        </w:tc>
      </w:tr>
      <w:tr>
        <w:trPr>
          <w:trHeight w:val="0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инструктор по ФИЗО</w:t>
            </w:r>
          </w:p>
        </w:tc>
      </w:tr>
      <w:tr>
        <w:trPr>
          <w:trHeight w:val="0"/>
        </w:trPr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1.1.5. Сопровождение воспитанников – детей участников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 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межведомственного взаимодействия в оказании помощи и поддержки воспитанникам, родители которых являются ветеранами СВО 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психологического состояния воспитанников, родители которых являются участниками СВО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педагог- психолог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педагог-психолог</w:t>
            </w:r>
          </w:p>
        </w:tc>
      </w:tr>
      <w:tr>
        <w:trPr>
          <w:trHeight w:val="0"/>
        </w:trPr>
        <w:tc>
          <w:tcPr>
            <w:tcW w:w="4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1.1.6. &lt;...&gt;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1.2. Работа с семьями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Семинар-практикум «Государственная помощь семьям: что нужно знать»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 обновление информационных уголков и стендов для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и реализация плана индивидуальной работы с неблагополучными семьями – психолого-педагогическая поддержка детей и 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необходимости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>
        <w:trPr>
          <w:trHeight w:val="0"/>
        </w:trPr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Общесадовское родительское собрание по презентации проектов «Добрые игры» и «Орлята-дошколята»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с участием родителей воспитанников «Воспитание детей через традиции»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 открытых дверей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июнь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 вручение раздаточного материала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клубной работы с семьями воспитанников по патриотическому воспитанию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детско-родительского творчества «Моя родословная»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«Информационная безопасность детей»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Октябрь, май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воспитатели, педагог-психолог 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 собрание «Отношение родителей к использованию ИИ в детском саду: страхи и ожидания»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родителей «Безопасность ребенка в руках взрослого»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воспитатель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«Создаем новогоднюю открытку с помощью нейросети – делаем дома и приносим в сад»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Общие родительские собрания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направления воспитательно-образовательной деятельности и работы детского сада в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26/27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учебном году с учетом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собрания в возрастных группах «Семья и ее обязанности в развитии ребенка»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 собрание «Роль семьи в историческом просвещении детей»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собрания в возрастных группах «Опасности, которые подстерегают ребенка»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значимости информационно-образовательного пространства и формирование безопасной информационно-позитивной среды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2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работы детского сада в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26/27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учебном году, организация работы в летний оздоровительный период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Групповые родительские собрания</w:t>
            </w:r>
          </w:p>
        </w:tc>
      </w:tr>
      <w:tr>
        <w:trPr>
          <w:trHeight w:val="0"/>
        </w:trPr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«Адаптационный период детей в детском саду»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группы, педагог-психолог</w:t>
            </w:r>
          </w:p>
        </w:tc>
      </w:tr>
      <w:tr>
        <w:trPr>
          <w:trHeight w:val="0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«Особенности развития познавательных интересов и эмоций ребенка 4–5 лет»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>
        <w:trPr>
          <w:trHeight w:val="0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 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старшей группы</w:t>
            </w:r>
          </w:p>
        </w:tc>
      </w:tr>
      <w:tr>
        <w:trPr>
          <w:trHeight w:val="5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 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>
        <w:trPr>
          <w:trHeight w:val="9"/>
        </w:trPr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«Сохранение и укрепление здоровья младших дошкольников»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>
        <w:trPr>
          <w:trHeight w:val="9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«Особенности и проблемы речевого развития у детей среднего дошкольного возраста»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</w:t>
            </w:r>
          </w:p>
        </w:tc>
      </w:tr>
      <w:tr>
        <w:trPr>
          <w:trHeight w:val="9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 подготовительная группы: «Подготовка дошкольников 6–7 лет к овладению грамотой»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старшей группы, учитель-логопед</w:t>
            </w:r>
          </w:p>
        </w:tc>
      </w:tr>
      <w:tr>
        <w:trPr>
          <w:trHeight w:val="9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 подготовительная группы: «Организация и проведение новогодних утренников»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>
        <w:trPr>
          <w:trHeight w:val="4"/>
        </w:trPr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группа: «Социализация детей младшего дошкольного возраста. Самостоятельность и самообслуживание»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группы</w:t>
            </w:r>
          </w:p>
        </w:tc>
      </w:tr>
      <w:tr>
        <w:trPr>
          <w:trHeight w:val="4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группа: «Причины детской агрессивности и способы ее коррекции»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>
        <w:trPr>
          <w:trHeight w:val="4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 подготовительная группы: «Подготовка к выпускному»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воспитатель старшей группы</w:t>
            </w:r>
          </w:p>
        </w:tc>
      </w:tr>
      <w:tr>
        <w:trPr>
          <w:trHeight w:val="2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Младшая, средняя, старшая и 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>
        <w:trPr>
          <w:trHeight w:val="0"/>
        </w:trPr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и средняя группы: «Что такое мелкая моторика и почему так важно ее развивать»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младшей и средней группы</w:t>
            </w:r>
          </w:p>
        </w:tc>
      </w:tr>
      <w:tr>
        <w:trPr>
          <w:trHeight w:val="0"/>
        </w:trPr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 подготовительная группы: «Подготовка детей к обучению в школе»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педагог-психолог</w:t>
            </w:r>
          </w:p>
        </w:tc>
      </w:tr>
      <w:tr>
        <w:trPr>
          <w:trHeight w:val="3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Собрания для родителей будущих воспитанников детского сада</w:t>
            </w:r>
          </w:p>
        </w:tc>
      </w:tr>
      <w:tr>
        <w:trPr>
          <w:trHeight w:val="3"/>
        </w:trPr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 родительское собрание для родителей, дети которых зачислены на обучение в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27/28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1.2.3. Совместная деятельность ДОО и семей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Тематика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>
        <w:trPr>
          <w:trHeight w:val="0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урожая в возрастных группах «Овощи и фрукты»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с участием родителей воспитанников «Основные причины возникновения ситуаций, влекущих за собой причинение вреда детскому здоровью»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осени в возрастных группах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для родителей, чтобы выявить организацию развивающей среды для ребенка в семейных условиях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 деятельность «Наш друг – батарейка!»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в семейном клубе «Вместе строим теремок»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 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1.2.4. Реализация Программы просвещения родителей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 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 </w:t>
            </w:r>
          </w:p>
        </w:tc>
      </w:tr>
      <w:tr>
        <w:trPr>
          <w:trHeight w:val="0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Август– сентябрь 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и оформление дорожной карты о внедрении Программы просвещения родителей (законных представителей) детей дошкольного возраста, посещающих ДОО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воспитатели, рабочая группа </w:t>
            </w:r>
          </w:p>
        </w:tc>
      </w:tr>
      <w:tr>
        <w:trPr>
          <w:trHeight w:val="0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постоянно действующего внутреннего консультационно-методического сопровождения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старший воспитатель, воспитатели, рабочая группа </w:t>
            </w:r>
          </w:p>
        </w:tc>
      </w:tr>
      <w:tr>
        <w:trPr>
          <w:trHeight w:val="0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Семинар-практикум «Государственная помощь семьям: что нужно знать»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II. АДМИНИСТРАТИВНАЯ И МЕТОДИЧЕСКАЯ ДЕЯТЕЛЬНОСТЬ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2.1. Методическая работа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 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режима дня групп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сетки образовательной нагрузки в возрастных группах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август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 журналы, справочные системы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 работа с воспитателями по запросам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кабинетов методическими и практическими материалами с учетом рекомендаций Минпросвещения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Внедрить в работу единую методологию преподавания истории для дошкольников: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заседание педагогического совета по вопросам внедрения методологии;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направить воспитателей на повышение квалификации;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изменения в ОП ДО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диагностических карт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5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Обеспечение методсопровождения педагогов по повышению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 в вопросах создания инфраструктуры РППС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методического сопровождения педагогов в работе по нравственно-патриотическому воспитанию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Оформить информационные стенды по теме проектов «Добрые игры» и «Орлята-дошколята»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практики работы ДОО, которые участвовали в апробации проекта «Добрые игры» и «Орлята-дошколята России»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 поправки к ОП ДО по вопросу включения в нее проектов «Добрые игры» и «Орлята-дошколята» (по необходимости)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рабочая группа</w:t>
            </w:r>
          </w:p>
        </w:tc>
      </w:tr>
      <w:tr>
        <w:trPr>
          <w:trHeight w:val="0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Семинар-практикум «От образа к действию: как говорить с дошкольниками об истории и единстве России»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руководитель, воспитатели</w:t>
            </w:r>
          </w:p>
        </w:tc>
      </w:tr>
      <w:tr>
        <w:trPr>
          <w:trHeight w:val="0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 акция «Мы едины – народы России!»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педагогических идей «Мост дружбы: одно занятие для всех народов» (онлайн-конкурс. Итог: сбор лучших работ в методической копилке ДОО)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«История для детей»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дошкольных образовательных практик «Радуга детства»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квиз «Знатоки дошкольного образования»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«Город добрых профессий»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творческой группы «Цифровой воспитатель» из 3–5 педагогов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 и настройка голосовых помощников (Алиса, Маруся) с детским режимом и обучающими навыками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4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 и ИИ в ДОО: возможности, риски, СанПиН»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и специалисты</w:t>
            </w:r>
          </w:p>
        </w:tc>
      </w:tr>
      <w:tr>
        <w:trPr>
          <w:trHeight w:val="0"/>
        </w:trPr>
        <w:tc>
          <w:tcPr>
            <w:tcW w:w="5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 новых публикаций и периодики по вопросам дошкольного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банка методических материалов для изучения государственной символики РФ в детском саду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к развивающей предметно-пространственной среде с учетом ФОП и ФГОС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 и методы работы при реализации воспитательно-образовательной деятельности по 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простудных заболеваний у детей в осенний и зимний периоды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 билингвального образования в системе патриотического воспитания старших дошкольников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старших групп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 педагогических технологий и практик, направленных на противодействие проявлениям идеологии и практики экстремизма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профилактической, оздоровительной и образовательной деятельности с детьми летом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– как включить в образовательный процесс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 инновационных педагогических технологий и практик по реализации ОП 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 развивающей предметно-пространственной среды в 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«Педагогическая идея» среди ДОО района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Физкультурно-оздоровительный климат в семье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 по физической культуре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профессиональной готовности педагогических кадров ДОО и начальной школы к обеспечению единого образовательного пространства в рамках ФОП ДО и ФОП НОО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подготовительных групп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«Дискуссионный круглый стол: встреча учителей начальных классов и воспитателей с целью обсуждения преемственности в работе детского сада и начальной школы с внедрением ФОП ДО и ФОП НОО»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воспитатели подготовительных групп, учителя начальных классов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&lt;...&gt;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2.1.4.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Установочный педсовет «Планирование деятельности детского сада в новом учебном году с учетом ФГОС и ФОП ДО»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педсовет «Обновление инфраструктуры детского сада: успехи и проблемы»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медработник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педсовет «Использование информационно-коммуникативных технологий (ИКТ) и искусственного интеллекта (ИИ) в образовательном и воспитательном процессе»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 педсовет «Подведение итогов работы детского сада в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26/27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2.2. Нормотворчество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2.2.1. Разработка локальных и 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 по охране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охрану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2.2.2. Обновление локальных и 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 текущей и отчетной документации педагогов ДОО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 поощрении воспитанников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 оплате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2.3. Работа с кадрами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Аттестация педагогических и непедагогических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Аттестация педагогических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Бученокова А.Е.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Пегова И.Л.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Аттестация непедагогических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Колтухов Я.И.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И.Е.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2.3.2. Повышение квалификации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курса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Делокур М.В.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 воспитательно-образовательного процесса с учетом ФГОС и ФОП ДО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 А.Д.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 и ИИ в дошкольном образовательном учреждении в контексте ФГОС ДО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Анохина А.К.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Методология, программирование и технология организации технического творчества детей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2.3.3. Оперативные совещания при заведующем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Текущие и перспективные задачи детского сада решаются на совещаниях при заведующем. Темы, сроки и вопросы совещаний на текущий год приведены в </w:t>
      </w:r>
      <w:r>
        <w:rPr>
          <w:rFonts w:hAnsi="Times New Roman" w:cs="Times New Roman"/>
          <w:color w:val="000000"/>
          <w:sz w:val="24"/>
          <w:szCs w:val="24"/>
        </w:rPr>
        <w:t>приложении 3</w:t>
      </w:r>
      <w:r>
        <w:rPr>
          <w:rFonts w:hAnsi="Times New Roman" w:cs="Times New Roman"/>
          <w:color w:val="000000"/>
          <w:sz w:val="24"/>
          <w:szCs w:val="24"/>
        </w:rPr>
        <w:t> к настоящему плану.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2.4. Контроль и оценка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2.4.1. Внутрисадовский контроль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 и учебных помещений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 декабрь, март, июнь и август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заместитель по АХЧ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условий для формирования основ патриотического развития дошкольников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 и учебных помещений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воспитанников в детском саду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 воспитательно-образовательной работы с детьми с учетом ФОП ДО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деятельности коллектива детского сада по формированию привычки к здоровому образу жизни у 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 просмотр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документации педагогов, воспитателей групп.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предметно-развивающей среды (уголки экологии и экспериментирования)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ООД по познавательному развитию в подготовительных группах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Сравнительный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подготовки детей к школе. Анализ образовательной деятельности за 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оздоровительных мероприятий в режиме дня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медработник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2.4.2. Внутренняя система оценки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1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качества воспитательной работы в группах с учетом требований ФГОС и ФОП дошкольного образования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динамики показателей здоровья воспитанников (общего показателя здоровья, показателей заболеваемости органов зрения и опорно-двигательного аппарата, травматизма)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 квартал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информационно-технического обеспечения воспитательного и образовательного процесса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февраль, 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своевременного размещения информации на сайте детского сада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>
        <w:trPr>
          <w:trHeight w:val="0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2.5. Мониторинг инфраструктуры РППС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3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Проанализировать соответствие инфраструктуры ДОО требованиям инвариативной и по возможности вариативной части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перечня, утв. приказом Минпросвещения от 25.12.2024 № 1057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воспитатель, завхоз</w:t>
            </w:r>
          </w:p>
        </w:tc>
      </w:tr>
      <w:tr>
        <w:trPr>
          <w:trHeight w:val="0"/>
        </w:trPr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РППС и учебно-методических материалов на соответствие санитарным нормам, ФГОС ДО, ФОП и ФАОП ДО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Старший воспитатель, завхоз </w:t>
            </w:r>
          </w:p>
        </w:tc>
      </w:tr>
      <w:tr>
        <w:trPr>
          <w:trHeight w:val="0"/>
        </w:trPr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Ревизия игровых материалов и оборудования групповых комнат и кабинетов специалистов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групп, специалисты</w:t>
            </w:r>
          </w:p>
        </w:tc>
      </w:tr>
      <w:tr>
        <w:trPr>
          <w:trHeight w:val="0"/>
        </w:trPr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запросов родителей в отношении качества РППС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>
          <w:trHeight w:val="0"/>
        </w:trPr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интересов, склонностей, предпочтений, индивидуальных особенностей детей в группах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>
          <w:trHeight w:val="0"/>
        </w:trPr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предметно-развивающей среды (центры активности)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Октябрь–апрель 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>
          <w:trHeight w:val="0"/>
        </w:trPr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методического банка материалов из опыта работы педагогов по формированию инфраструктуры и комплектации учебно-методическими материалами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>
          <w:trHeight w:val="0"/>
        </w:trPr>
        <w:tc>
          <w:tcPr>
            <w:tcW w:w="4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III. ХОЗЯЙСТВЕННАЯ ДЕЯТЕЛЬНОСТЬ И БЕЗОПАСНОСТЬ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3.1. Закупка и содержание материально-технической базы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и май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выполнения и корректировка ПФХД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3.1.2. Мероприятия по выполнению санитарных норм и 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3.2. Безопасность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Оснастить здание техническими системами охраны: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системой контроля и управления доступом;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антитеррористическую защищенность и заместитель заведующего по АХР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системой видеонаблюдения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>
          <w:trHeight w:val="0"/>
        </w:trPr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противопожарные инструктажи с работниками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 по необходимости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пожарную безопасность</w:t>
            </w:r>
          </w:p>
        </w:tc>
      </w:tr>
      <w:tr>
        <w:trPr>
          <w:trHeight w:val="0"/>
        </w:trPr>
        <w:tc>
          <w:tcPr>
            <w:tcW w:w="4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Приложения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 годовому плану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 20</w:t>
      </w:r>
      <w:r>
        <w:rPr>
          <w:rFonts w:hAnsi="Times New Roman" w:cs="Times New Roman"/>
          <w:color w:val="000000"/>
          <w:sz w:val="24"/>
          <w:szCs w:val="24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учебный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работы детского сада по организации оздоровительной работы ле</w:t>
      </w:r>
      <w:r>
        <w:rPr>
          <w:rFonts w:hAnsi="Times New Roman" w:cs="Times New Roman"/>
          <w:color w:val="000000"/>
          <w:sz w:val="24"/>
          <w:szCs w:val="24"/>
        </w:rPr>
        <w:t>том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 годовому плану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 20</w:t>
      </w:r>
      <w:r>
        <w:rPr>
          <w:rFonts w:hAnsi="Times New Roman" w:cs="Times New Roman"/>
          <w:color w:val="000000"/>
          <w:sz w:val="24"/>
          <w:szCs w:val="24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учебный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оперативных совещаний при заведующем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 годовому плану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 20</w:t>
      </w:r>
      <w:r>
        <w:rPr>
          <w:rFonts w:hAnsi="Times New Roman" w:cs="Times New Roman"/>
          <w:color w:val="000000"/>
          <w:sz w:val="24"/>
          <w:szCs w:val="24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27 </w:t>
      </w:r>
      <w:r>
        <w:rPr>
          <w:rFonts w:hAnsi="Times New Roman" w:cs="Times New Roman"/>
          <w:color w:val="000000"/>
          <w:sz w:val="24"/>
          <w:szCs w:val="24"/>
        </w:rPr>
        <w:t>учебный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мониторинга деятельности по профилактике детского и семейного неблагопол</w:t>
      </w:r>
      <w:r>
        <w:rPr>
          <w:rFonts w:hAnsi="Times New Roman" w:cs="Times New Roman"/>
          <w:color w:val="000000"/>
          <w:sz w:val="24"/>
          <w:szCs w:val="24"/>
        </w:rPr>
        <w:t>учия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годовому плану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20</w:t>
      </w:r>
      <w:r>
        <w:rPr>
          <w:rFonts w:hAnsi="Times New Roman" w:cs="Times New Roman"/>
          <w:color w:val="000000"/>
          <w:sz w:val="24"/>
          <w:szCs w:val="24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 xml:space="preserve"> учебный год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Лист ознакомления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 ознакомления с годовым планом работы 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d91e8576ea044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