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ШКОЛА)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14"/>
        <w:gridCol w:w="3115"/>
        <w:gridCol w:w="3115"/>
      </w:tblGrid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РАССМОТРЕНО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РАБОЧАЯ ПРОГРАММА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(ID)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учебного предмета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Вероятность и статистика. Углубленный уровень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обучающихся 10-11 классов 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ГОРОД) 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Учебный курс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фундаментального закона природы, имеющего математическую формализацию.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соответствии с указанными целями в структуре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углублённом уровне выделены основные содержательные линии: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Случайные события и вероятности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Случайные величины и закон больших чисел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линии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Случайные события и вероятности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показательным и нормальным распределениями.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Диаграммы рассеивания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изученную на уровне основного общего образования, и во многом опираются на сведения из курсов алгебры и геометрии.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Ещё один элемент содержания, который предлагается на ознакомительном уровне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изучение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углубленном уровне отводится 68 часов: в 10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неделю), в 11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Серия независимых испытаний Бернулли. Случайный выбор из конечной совокупности.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Совместное распределение двух случайных величин. Независимые случайные величины.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Последовательность одиночных независимых событий. Задачи, приводящие к распределению Пуассона.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УЧЕБНОГО КУРСА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УГЛУБЛЕННЫЙ УРОВЕНЬ) НА УРОВНЕ СРЕДНЕГО ОБЩЕГО ОБРАЗОВАНИЯ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гражданского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патриотического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духовно-нравственного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эстетического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физического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трудового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экологического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ценности научного познания: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дефициты информации, данных, необходимых для ответа на вопрос и для решения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структурировать информацию, представлять её в различных формах, иллюстрировать графически;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надёжность информации по самостоятельно сформулированным критериям.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Самоконтроль, эмоциональный интеллект: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Совместная деятельность: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групповых формах работы (обсуждения, обмен мнений,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мозговые штурмы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 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 класса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научится: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11 класса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научится: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66"/>
        <w:gridCol w:w="4645"/>
        <w:gridCol w:w="1544"/>
        <w:gridCol w:w="1841"/>
        <w:gridCol w:w="1910"/>
        <w:gridCol w:w="2662"/>
      </w:tblGrid>
      <w:tr>
        <w:trPr>
          <w:trHeight w:val="144" w:hRule="auto"/>
          <w:jc w:val="left"/>
        </w:trPr>
        <w:tc>
          <w:tcPr>
            <w:tcW w:w="106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4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9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66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6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Элементы комбинаторики</w:t>
            </w: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Элементы теории графов</w:t>
            </w: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опыты, случайные события и вероятности событий</w:t>
            </w: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величины и распределения</w:t>
            </w: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</w:t>
            </w: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2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29"/>
        <w:gridCol w:w="4582"/>
        <w:gridCol w:w="1576"/>
        <w:gridCol w:w="1841"/>
        <w:gridCol w:w="1910"/>
        <w:gridCol w:w="2718"/>
      </w:tblGrid>
      <w:tr>
        <w:trPr>
          <w:trHeight w:val="144" w:hRule="auto"/>
          <w:jc w:val="left"/>
        </w:trPr>
        <w:tc>
          <w:tcPr>
            <w:tcW w:w="112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8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2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71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2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1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 больших чисел</w:t>
            </w:r>
          </w:p>
        </w:tc>
        <w:tc>
          <w:tcPr>
            <w:tcW w:w="1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Элементы математической статистики</w:t>
            </w:r>
          </w:p>
        </w:tc>
        <w:tc>
          <w:tcPr>
            <w:tcW w:w="1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Распределение Пуассона</w:t>
            </w:r>
          </w:p>
        </w:tc>
        <w:tc>
          <w:tcPr>
            <w:tcW w:w="1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Связь между случайными величинами</w:t>
            </w:r>
          </w:p>
        </w:tc>
        <w:tc>
          <w:tcPr>
            <w:tcW w:w="1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и систематизация знаний</w:t>
            </w:r>
          </w:p>
        </w:tc>
        <w:tc>
          <w:tcPr>
            <w:tcW w:w="1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2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73"/>
        <w:gridCol w:w="4329"/>
        <w:gridCol w:w="1319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107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2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Комбинаторное правило умножения. Перестановки и факториал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сочетаний. Треугольник Паскаля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бинома Ньютона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Граф, связный граф, представление задачи с помощью графа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(валентность) вершины. Путь в графе. Цепи и циклы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Графы на плоскости. Дерево случайного эксперимента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эксперименты (опыты) и случайные события. Элементарные события (исходы)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Условная вероятность. Умножение вероятностей. Формула условной вероятности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Условная вероятность. Умножение вероятностей. Формула условной вероятности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полной вероятности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Байеса. Независимые события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Байеса. Независимые события. Практическая работа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1: "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Графы, вероятности, множества, комбинаторика"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Серия независимых испытаний до первого успеха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Серия независимых испытаний Бернулли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Случайный выбор из конечной совокупности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с использованием электронных таблиц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величина. Распределение вероятностей. Диаграмма распределения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Геометрическое распределение. Биномиальное распределение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Дисперсия и стандартное отклонение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Дисперсия бинарной случайной величины. Свойства дисперсии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произведения и дисперсия суммы независимых случайных величин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2: "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 Бернулли. Случайные величины и распределения"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и систематизация знаний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и систематизация знаний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3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46"/>
        <w:gridCol w:w="4528"/>
        <w:gridCol w:w="1247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94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2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9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2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Неравенство Чебышева. Теорема Чебышева. Теорема Бернулли. Закон больших чисел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Неравенство Чебышева. Теорема Чебышева. Теорема Бернулли. Закон больших чисел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Неравенство Чебышева. Теорема Чебышева. Теорема Бернулли. Закон больших чисел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Выборочный метод исследований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Оценивание вероятностей событий по выборке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с использованием электронных таблиц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непрерывных случайных величин. Функция плотности вероятности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Функция плотности вероятности показательного распределения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Функция плотности вероятности нормального распределения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с использованием электронных таблиц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Ковариация двух случайных величин. Коэффициент корреляции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Совместные наблюдения двух величин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Выборочный коэффициент корреляции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Различие между линейной связью и причинно-следственной связью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Линейная регрессия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с помощью таблиц и диаграмм, описательная статистика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Опыты с равновозможными элементарными событиями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Вычисление вероятностей событий с применением формул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величины и распределения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случайной величины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случайной величины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работа: "Вероятность и статистика"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Вычисление вероятностей событий с применением формул и графических методов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Вычисление вероятностей событий с применением формул и графических методов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7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ТРЕБОВАНИЯ К РЕЗУЛЬТАТАМ ОСВОЕНИЯ ОСНОВНОЙ ОБРАЗОВАТЕЛЬНОЙ ПРОГРАММЫ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54"/>
        <w:gridCol w:w="7709"/>
      </w:tblGrid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70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Теория вероятностей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Читать и строить таблицы и диаграммы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6.6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Применять комбинаторное правило умножения при решении задач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6.7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6.8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Оперировать понятиями: случайная величина, распределение вероятностей, диаграмма распределения</w:t>
            </w:r>
          </w:p>
        </w:tc>
      </w:tr>
    </w:tbl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54"/>
        <w:gridCol w:w="7709"/>
      </w:tblGrid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70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Теория вероятностей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вероятности значений случайной величиныпо распределению или с помощью диаграмм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Иметь представление о законе больших чисел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Иметь представление о нормальном распределении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ЭЛЕМЕНТЫ СОДЕРЖАНИЯ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793"/>
        <w:gridCol w:w="8770"/>
      </w:tblGrid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770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Теория вероятностей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6.1</w:t>
            </w:r>
          </w:p>
        </w:tc>
        <w:tc>
          <w:tcPr>
            <w:tcW w:w="8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6.2</w:t>
            </w:r>
          </w:p>
        </w:tc>
        <w:tc>
          <w:tcPr>
            <w:tcW w:w="8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частотыи вероятности событий. Случайные опыты с равновозможными элементарными событиями. Вероятности событий в опытахс равновозможными элементарными событиями</w:t>
            </w:r>
          </w:p>
        </w:tc>
      </w:tr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6.3</w:t>
            </w:r>
          </w:p>
        </w:tc>
        <w:tc>
          <w:tcPr>
            <w:tcW w:w="8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6.4</w:t>
            </w:r>
          </w:p>
        </w:tc>
        <w:tc>
          <w:tcPr>
            <w:tcW w:w="8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Условная вероятность. Умножение вероятностей. Дерево случайного эксперимента. Формула полной вероятности. Независимые события</w:t>
            </w:r>
          </w:p>
        </w:tc>
      </w:tr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6.5</w:t>
            </w:r>
          </w:p>
        </w:tc>
        <w:tc>
          <w:tcPr>
            <w:tcW w:w="8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6.6</w:t>
            </w:r>
          </w:p>
        </w:tc>
        <w:tc>
          <w:tcPr>
            <w:tcW w:w="8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</w:t>
            </w:r>
          </w:p>
        </w:tc>
      </w:tr>
      <w:tr>
        <w:trPr>
          <w:trHeight w:val="144" w:hRule="auto"/>
          <w:jc w:val="left"/>
        </w:trPr>
        <w:tc>
          <w:tcPr>
            <w:tcW w:w="7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6.7</w:t>
            </w:r>
          </w:p>
        </w:tc>
        <w:tc>
          <w:tcPr>
            <w:tcW w:w="8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величина. Распределение вероятностей. Диаграмма распределения. Примеры распределений, в том числе геометрическоеи биномиальное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81"/>
        <w:gridCol w:w="8582"/>
      </w:tblGrid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582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Теория вероятностей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8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8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 больших чисел и его роль в науке, природе и обществе. Выборочный метод исследований</w:t>
            </w: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85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>
      <w:pPr>
        <w:spacing w:before="0" w:after="0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25"/>
        <w:gridCol w:w="7638"/>
      </w:tblGrid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требования 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×2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×3,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определитель матрицы, геометрический смысл определителя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auto" w:val="clear"/>
              </w:rPr>
              <w:t xml:space="preserve"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>
        <w:trPr>
          <w:trHeight w:val="144" w:hRule="auto"/>
          <w:jc w:val="left"/>
        </w:trPr>
        <w:tc>
          <w:tcPr>
            <w:tcW w:w="19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7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172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ПЕРЕЧЕНЬ ЭЛЕМЕНТОВ СОДЕРЖАНИЯ, ПРОВЕРЯЕМЫХ НА ЕГЭ ПО МАТЕМАТИКЕ</w:t>
      </w:r>
    </w:p>
    <w:p>
      <w:pPr>
        <w:spacing w:before="0" w:after="0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76" w:type="dxa"/>
      </w:tblPr>
      <w:tblGrid>
        <w:gridCol w:w="881"/>
        <w:gridCol w:w="8606"/>
      </w:tblGrid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9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9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Натуральные и целые числа. Признаки делимости целых чисел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Рациональные числа. 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Логарифм числа. Десятичные и натуральные логарифмы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1.8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Преобразование выражений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1.9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Комплексные числа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Целые и дробно-рациональные уравнения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Иррациональные уравнения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Тригонометрические уравнения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Показательные и логарифмические уравнения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Целые и дробно-рациональные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Иррациональные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Показательные и логарифмические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Тригонометрические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2.9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Системы и совокупности уравнений и неравенств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2.10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Уравнения, неравенства и системы с параметрами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Матрица системы линейных уравнений. Определитель матрицы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 и графики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-ой степени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Тригонометрические функции, их свойства и графики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Показательная и логарифмическая функции, их свойства и графики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Точки разрыва. Асимптоты графиков функций. Свойства функций, непрерывных на отрезке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3.7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Последовательности, способы задания последовательностей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3.8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Арифметическая и геометрическая прогрессии. Формула сложных процентов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Начала математического анализа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Производная функции. Производные элементарных функций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Первообразная. Интеграл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Множества и логика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Множество, операции над множествами. Диаграммы Эйлера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Венна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Логика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6.2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6.3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Комбинаторика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7.1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Фигуры на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7.2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Прямые и плоскости в пространстве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7.3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Многогранники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7.4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Тела и поверхности вращения</w:t>
            </w:r>
          </w:p>
        </w:tc>
      </w:tr>
      <w:tr>
        <w:trPr>
          <w:trHeight w:val="144" w:hRule="auto"/>
          <w:jc w:val="left"/>
        </w:trPr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23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7.5</w:t>
            </w:r>
          </w:p>
        </w:tc>
        <w:tc>
          <w:tcPr>
            <w:tcW w:w="8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23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Координаты и векторы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Математика. Вероятность и статистика: 7-9-е классы: базовый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уровень: учебник: в 2 частях, 7-9 классы/ Высоцкий И.Р., Ященко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И.В.; под ред. Ященко И.В.,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 в примерах и задачах. Том I. Основные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понятия теории вероятностей и математической статистики. М. Я.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Кельберт, Ю. М. Сухов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Ю.Н.Тюрин, А.А.Макаров, И.Р.Высоцкий, И.В.Ященко.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Экспериментальное учебное пособие для 10-11 кл. "Теория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вероятностей и статистика". МЦНМО. 2014 год.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1)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Математика. Универсальный многоуровневый сборник задач 7-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9 кл.", Просвещение. 2020-2022. ISBN:978-5-09-075041-7. Авторы: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Высоцкий И.Р., И.В.Ященко.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2) Ю.Н.Тюрин, А.А.Макаров, И.Р.Высоцкий, И.В.Ященко.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Учебное пособие "Теория вероятностей и статистика". МЦНМО.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2008 год.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3) Ю.Н.Тюрин, А.А.Макаров, И.Р.Высоцкий, И.В.Ященко.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Экспериментальное учебное пособие для 10-11 кл. "Теория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вероятностей и статистика". МЦНМО. 2014 год.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480"/>
        <w:ind w:right="0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1)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https://m.edsoo.ru/863ec324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2)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https://ptlab.mccme.ru/vertical</w:t>
        </w:r>
      </w:hyperlink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tlab.mccme.ru/vertical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m.edsoo.ru/863ec324" Id="docRId0" Type="http://schemas.openxmlformats.org/officeDocument/2006/relationships/hyperlink" /><Relationship TargetMode="External" Target="https://100ballnik.com/" Id="docRId2" Type="http://schemas.openxmlformats.org/officeDocument/2006/relationships/hyperlink" /><Relationship Target="styles.xml" Id="docRId4" Type="http://schemas.openxmlformats.org/officeDocument/2006/relationships/styles" /></Relationships>
</file>